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7A" w:rsidRPr="008C0ABC" w:rsidRDefault="009E75CD" w:rsidP="000E4D73">
      <w:pPr>
        <w:jc w:val="center"/>
        <w:rPr>
          <w:rFonts w:ascii="Times New Roman" w:hAnsi="Times New Roman" w:cs="Times New Roman"/>
          <w:smallCaps/>
          <w:sz w:val="36"/>
          <w:szCs w:val="36"/>
          <w:u w:val="single"/>
        </w:rPr>
      </w:pPr>
      <w:r w:rsidRPr="008C0ABC">
        <w:rPr>
          <w:rFonts w:ascii="Times New Roman" w:hAnsi="Times New Roman" w:cs="Times New Roman"/>
          <w:smallCaps/>
          <w:sz w:val="36"/>
          <w:szCs w:val="36"/>
          <w:u w:val="single"/>
        </w:rPr>
        <w:t>School</w:t>
      </w:r>
      <w:r w:rsidR="00286CD7">
        <w:rPr>
          <w:rFonts w:ascii="Times New Roman" w:hAnsi="Times New Roman" w:cs="Times New Roman"/>
          <w:smallCaps/>
          <w:sz w:val="36"/>
          <w:szCs w:val="36"/>
          <w:u w:val="single"/>
        </w:rPr>
        <w:t xml:space="preserve"> of Education Financial</w:t>
      </w:r>
      <w:r w:rsidR="00347FBF" w:rsidRPr="008C0ABC">
        <w:rPr>
          <w:rFonts w:ascii="Times New Roman" w:hAnsi="Times New Roman" w:cs="Times New Roman"/>
          <w:smallCaps/>
          <w:sz w:val="36"/>
          <w:szCs w:val="36"/>
          <w:u w:val="single"/>
        </w:rPr>
        <w:t xml:space="preserve"> </w:t>
      </w:r>
      <w:proofErr w:type="gramStart"/>
      <w:r w:rsidR="00347FBF" w:rsidRPr="008C0ABC">
        <w:rPr>
          <w:rFonts w:ascii="Times New Roman" w:hAnsi="Times New Roman" w:cs="Times New Roman"/>
          <w:smallCaps/>
          <w:sz w:val="36"/>
          <w:szCs w:val="36"/>
          <w:u w:val="single"/>
        </w:rPr>
        <w:t>Policies</w:t>
      </w:r>
      <w:proofErr w:type="gramEnd"/>
      <w:r w:rsidR="00007AE0">
        <w:rPr>
          <w:rFonts w:ascii="Times New Roman" w:hAnsi="Times New Roman" w:cs="Times New Roman"/>
          <w:smallCaps/>
          <w:sz w:val="36"/>
          <w:szCs w:val="36"/>
          <w:u w:val="single"/>
        </w:rPr>
        <w:br/>
      </w:r>
      <w:r w:rsidR="00007AE0">
        <w:rPr>
          <w:rFonts w:ascii="Times New Roman" w:hAnsi="Times New Roman" w:cs="Times New Roman"/>
          <w:smallCaps/>
        </w:rPr>
        <w:t>(</w:t>
      </w:r>
      <w:r w:rsidR="00007AE0" w:rsidRPr="00007AE0">
        <w:rPr>
          <w:rFonts w:ascii="Times New Roman" w:hAnsi="Times New Roman" w:cs="Times New Roman"/>
          <w:smallCaps/>
        </w:rPr>
        <w:t>Revised 201</w:t>
      </w:r>
      <w:r w:rsidR="009A6284">
        <w:rPr>
          <w:rFonts w:ascii="Times New Roman" w:hAnsi="Times New Roman" w:cs="Times New Roman"/>
          <w:smallCaps/>
        </w:rPr>
        <w:t>7</w:t>
      </w:r>
      <w:r w:rsidR="00007AE0">
        <w:rPr>
          <w:rFonts w:ascii="Times New Roman" w:hAnsi="Times New Roman" w:cs="Times New Roman"/>
          <w:smallCaps/>
        </w:rPr>
        <w:t>)</w:t>
      </w:r>
    </w:p>
    <w:p w:rsidR="000832E2" w:rsidRPr="008C0ABC" w:rsidRDefault="000832E2" w:rsidP="00266EA8">
      <w:pPr>
        <w:pStyle w:val="ListParagraph"/>
        <w:numPr>
          <w:ilvl w:val="0"/>
          <w:numId w:val="1"/>
        </w:numPr>
        <w:ind w:left="360"/>
        <w:rPr>
          <w:rFonts w:ascii="Times New Roman" w:hAnsi="Times New Roman" w:cs="Times New Roman"/>
          <w:b/>
          <w:i/>
          <w:sz w:val="24"/>
          <w:szCs w:val="24"/>
          <w:u w:val="single"/>
        </w:rPr>
      </w:pPr>
      <w:r w:rsidRPr="008C0ABC">
        <w:rPr>
          <w:rFonts w:ascii="Times New Roman" w:hAnsi="Times New Roman" w:cs="Times New Roman"/>
          <w:b/>
          <w:i/>
          <w:sz w:val="24"/>
          <w:szCs w:val="24"/>
        </w:rPr>
        <w:t>Vacancies - Faculty/Staff</w:t>
      </w:r>
      <w:r w:rsidR="001747F4" w:rsidRPr="008C0ABC">
        <w:rPr>
          <w:rFonts w:ascii="Times New Roman" w:hAnsi="Times New Roman" w:cs="Times New Roman"/>
          <w:b/>
          <w:i/>
          <w:sz w:val="24"/>
          <w:szCs w:val="24"/>
        </w:rPr>
        <w:t xml:space="preserve"> -</w:t>
      </w:r>
      <w:r w:rsidRPr="008C0ABC">
        <w:rPr>
          <w:rFonts w:ascii="Times New Roman" w:hAnsi="Times New Roman" w:cs="Times New Roman"/>
          <w:b/>
          <w:i/>
          <w:sz w:val="24"/>
          <w:szCs w:val="24"/>
        </w:rPr>
        <w:t xml:space="preserve"> excluding student assistants (TAs, PAs, RAs) and student hourlies</w:t>
      </w:r>
      <w:r w:rsidR="00484150" w:rsidRPr="008C0ABC">
        <w:rPr>
          <w:rFonts w:ascii="Times New Roman" w:hAnsi="Times New Roman" w:cs="Times New Roman"/>
          <w:b/>
          <w:i/>
          <w:sz w:val="24"/>
          <w:szCs w:val="24"/>
        </w:rPr>
        <w:t xml:space="preserve">. All FTE and associated salary funds will be returned to the central School fund when vacated. </w:t>
      </w:r>
      <w:r w:rsidR="00484150" w:rsidRPr="008C0ABC">
        <w:rPr>
          <w:rFonts w:ascii="Times New Roman" w:hAnsi="Times New Roman" w:cs="Times New Roman"/>
          <w:b/>
          <w:i/>
          <w:sz w:val="24"/>
          <w:szCs w:val="24"/>
          <w:u w:val="single"/>
        </w:rPr>
        <w:t xml:space="preserve">Departments/Units may make proposals </w:t>
      </w:r>
      <w:r w:rsidR="00030DFF" w:rsidRPr="008C0ABC">
        <w:rPr>
          <w:rFonts w:ascii="Times New Roman" w:hAnsi="Times New Roman" w:cs="Times New Roman"/>
          <w:b/>
          <w:i/>
          <w:sz w:val="24"/>
          <w:szCs w:val="24"/>
          <w:u w:val="single"/>
        </w:rPr>
        <w:t xml:space="preserve">to the Dean/designee </w:t>
      </w:r>
      <w:r w:rsidR="00484150" w:rsidRPr="008C0ABC">
        <w:rPr>
          <w:rFonts w:ascii="Times New Roman" w:hAnsi="Times New Roman" w:cs="Times New Roman"/>
          <w:b/>
          <w:i/>
          <w:sz w:val="24"/>
          <w:szCs w:val="24"/>
          <w:u w:val="single"/>
        </w:rPr>
        <w:t>to hire new/replacement positions</w:t>
      </w:r>
      <w:r w:rsidR="001747F4" w:rsidRPr="008C0ABC">
        <w:rPr>
          <w:rFonts w:ascii="Times New Roman" w:hAnsi="Times New Roman" w:cs="Times New Roman"/>
          <w:b/>
          <w:i/>
          <w:sz w:val="24"/>
          <w:szCs w:val="24"/>
          <w:u w:val="single"/>
        </w:rPr>
        <w:t>. Positions will not be posted wit</w:t>
      </w:r>
      <w:r w:rsidR="00B31EB4" w:rsidRPr="008C0ABC">
        <w:rPr>
          <w:rFonts w:ascii="Times New Roman" w:hAnsi="Times New Roman" w:cs="Times New Roman"/>
          <w:b/>
          <w:i/>
          <w:sz w:val="24"/>
          <w:szCs w:val="24"/>
          <w:u w:val="single"/>
        </w:rPr>
        <w:t xml:space="preserve">hout the Dean/designee approval. </w:t>
      </w:r>
    </w:p>
    <w:p w:rsidR="001747F4" w:rsidRPr="008C0ABC" w:rsidRDefault="001747F4" w:rsidP="00266EA8">
      <w:pPr>
        <w:pStyle w:val="ListParagraph"/>
        <w:ind w:left="360" w:hanging="360"/>
        <w:rPr>
          <w:rFonts w:ascii="Times New Roman" w:hAnsi="Times New Roman" w:cs="Times New Roman"/>
          <w:sz w:val="24"/>
          <w:szCs w:val="24"/>
        </w:rPr>
      </w:pPr>
    </w:p>
    <w:p w:rsidR="0052770E" w:rsidRPr="008C0ABC" w:rsidRDefault="009E75CD" w:rsidP="00266EA8">
      <w:pPr>
        <w:pStyle w:val="ListParagraph"/>
        <w:numPr>
          <w:ilvl w:val="0"/>
          <w:numId w:val="1"/>
        </w:numPr>
        <w:ind w:left="360"/>
        <w:rPr>
          <w:rFonts w:ascii="Times New Roman" w:hAnsi="Times New Roman" w:cs="Times New Roman"/>
          <w:sz w:val="24"/>
          <w:szCs w:val="24"/>
        </w:rPr>
      </w:pPr>
      <w:r w:rsidRPr="008C0ABC">
        <w:rPr>
          <w:rFonts w:ascii="Times New Roman" w:hAnsi="Times New Roman" w:cs="Times New Roman"/>
          <w:sz w:val="24"/>
          <w:szCs w:val="24"/>
        </w:rPr>
        <w:t>Faculty</w:t>
      </w:r>
      <w:r w:rsidR="00415049" w:rsidRPr="008C0ABC">
        <w:rPr>
          <w:rFonts w:ascii="Times New Roman" w:hAnsi="Times New Roman" w:cs="Times New Roman"/>
          <w:sz w:val="24"/>
          <w:szCs w:val="24"/>
        </w:rPr>
        <w:t>/Instructional Staff</w:t>
      </w:r>
      <w:r w:rsidRPr="008C0ABC">
        <w:rPr>
          <w:rFonts w:ascii="Times New Roman" w:hAnsi="Times New Roman" w:cs="Times New Roman"/>
          <w:sz w:val="24"/>
          <w:szCs w:val="24"/>
        </w:rPr>
        <w:t xml:space="preserve"> Course Release Policies</w:t>
      </w:r>
    </w:p>
    <w:p w:rsidR="00ED7F93" w:rsidRPr="008C0ABC" w:rsidRDefault="0052770E" w:rsidP="00266EA8">
      <w:pPr>
        <w:ind w:left="360"/>
        <w:rPr>
          <w:rFonts w:ascii="Times New Roman" w:hAnsi="Times New Roman" w:cs="Times New Roman"/>
          <w:sz w:val="24"/>
          <w:szCs w:val="24"/>
        </w:rPr>
      </w:pPr>
      <w:r w:rsidRPr="008C0ABC">
        <w:rPr>
          <w:rFonts w:ascii="Times New Roman" w:hAnsi="Times New Roman" w:cs="Times New Roman"/>
          <w:sz w:val="24"/>
          <w:szCs w:val="24"/>
        </w:rPr>
        <w:t>Each academic department should determine their cou</w:t>
      </w:r>
      <w:r w:rsidR="000832E2" w:rsidRPr="008C0ABC">
        <w:rPr>
          <w:rFonts w:ascii="Times New Roman" w:hAnsi="Times New Roman" w:cs="Times New Roman"/>
          <w:sz w:val="24"/>
          <w:szCs w:val="24"/>
        </w:rPr>
        <w:t>rse delivery baseline/capacity with the following assumptions:</w:t>
      </w:r>
    </w:p>
    <w:p w:rsidR="009E75CD" w:rsidRPr="008C0ABC" w:rsidRDefault="00484150" w:rsidP="00266EA8">
      <w:pPr>
        <w:pStyle w:val="ListParagraph"/>
        <w:numPr>
          <w:ilvl w:val="1"/>
          <w:numId w:val="1"/>
        </w:numPr>
        <w:ind w:left="720"/>
        <w:rPr>
          <w:rFonts w:ascii="Times New Roman" w:hAnsi="Times New Roman" w:cs="Times New Roman"/>
          <w:sz w:val="24"/>
          <w:szCs w:val="24"/>
        </w:rPr>
      </w:pPr>
      <w:r w:rsidRPr="008C0ABC">
        <w:rPr>
          <w:rFonts w:ascii="Times New Roman" w:hAnsi="Times New Roman" w:cs="Times New Roman"/>
          <w:sz w:val="24"/>
          <w:szCs w:val="24"/>
        </w:rPr>
        <w:t xml:space="preserve">Typically, </w:t>
      </w:r>
      <w:r w:rsidR="000832E2" w:rsidRPr="008C0ABC">
        <w:rPr>
          <w:rFonts w:ascii="Times New Roman" w:hAnsi="Times New Roman" w:cs="Times New Roman"/>
          <w:sz w:val="24"/>
          <w:szCs w:val="24"/>
        </w:rPr>
        <w:t>Faculty teach 4 (3 credit) courses/year (6/year in Art)</w:t>
      </w:r>
    </w:p>
    <w:p w:rsidR="009E75CD" w:rsidRPr="008C0ABC" w:rsidRDefault="009E75CD" w:rsidP="00266EA8">
      <w:pPr>
        <w:pStyle w:val="ListParagraph"/>
        <w:numPr>
          <w:ilvl w:val="1"/>
          <w:numId w:val="1"/>
        </w:numPr>
        <w:ind w:left="720"/>
        <w:rPr>
          <w:rFonts w:ascii="Times New Roman" w:hAnsi="Times New Roman" w:cs="Times New Roman"/>
          <w:sz w:val="24"/>
          <w:szCs w:val="24"/>
        </w:rPr>
      </w:pPr>
      <w:r w:rsidRPr="008C0ABC">
        <w:rPr>
          <w:rFonts w:ascii="Times New Roman" w:hAnsi="Times New Roman" w:cs="Times New Roman"/>
          <w:sz w:val="24"/>
          <w:szCs w:val="24"/>
        </w:rPr>
        <w:t xml:space="preserve">Department chairs receive </w:t>
      </w:r>
      <w:r w:rsidR="00D01A13" w:rsidRPr="008C0ABC">
        <w:rPr>
          <w:rFonts w:ascii="Times New Roman" w:hAnsi="Times New Roman" w:cs="Times New Roman"/>
          <w:sz w:val="24"/>
          <w:szCs w:val="24"/>
        </w:rPr>
        <w:t>2</w:t>
      </w:r>
      <w:r w:rsidRPr="008C0ABC">
        <w:rPr>
          <w:rFonts w:ascii="Times New Roman" w:hAnsi="Times New Roman" w:cs="Times New Roman"/>
          <w:sz w:val="24"/>
          <w:szCs w:val="24"/>
        </w:rPr>
        <w:t xml:space="preserve"> course releases</w:t>
      </w:r>
      <w:r w:rsidR="00D01A13" w:rsidRPr="008C0ABC">
        <w:rPr>
          <w:rFonts w:ascii="Times New Roman" w:hAnsi="Times New Roman" w:cs="Times New Roman"/>
          <w:sz w:val="24"/>
          <w:szCs w:val="24"/>
        </w:rPr>
        <w:t>/year; 4 releases in Art</w:t>
      </w:r>
    </w:p>
    <w:p w:rsidR="003B32F3" w:rsidRPr="008C0ABC" w:rsidRDefault="003B32F3" w:rsidP="00266EA8">
      <w:pPr>
        <w:pStyle w:val="ListParagraph"/>
        <w:numPr>
          <w:ilvl w:val="1"/>
          <w:numId w:val="1"/>
        </w:numPr>
        <w:ind w:left="720"/>
        <w:rPr>
          <w:rFonts w:ascii="Times New Roman" w:hAnsi="Times New Roman" w:cs="Times New Roman"/>
          <w:sz w:val="24"/>
          <w:szCs w:val="24"/>
        </w:rPr>
      </w:pPr>
      <w:r w:rsidRPr="008C0ABC">
        <w:rPr>
          <w:rFonts w:ascii="Times New Roman" w:hAnsi="Times New Roman" w:cs="Times New Roman"/>
          <w:sz w:val="24"/>
          <w:szCs w:val="24"/>
        </w:rPr>
        <w:t>Department Chair instruction should be replaced</w:t>
      </w:r>
    </w:p>
    <w:p w:rsidR="00ED7F93" w:rsidRPr="008C0ABC" w:rsidRDefault="00ED7F93" w:rsidP="00266EA8">
      <w:pPr>
        <w:pStyle w:val="ListParagraph"/>
        <w:numPr>
          <w:ilvl w:val="1"/>
          <w:numId w:val="1"/>
        </w:numPr>
        <w:ind w:left="720"/>
        <w:rPr>
          <w:rFonts w:ascii="Times New Roman" w:hAnsi="Times New Roman" w:cs="Times New Roman"/>
          <w:sz w:val="24"/>
          <w:szCs w:val="24"/>
        </w:rPr>
      </w:pPr>
      <w:r w:rsidRPr="008C0ABC">
        <w:rPr>
          <w:rFonts w:ascii="Times New Roman" w:hAnsi="Times New Roman" w:cs="Times New Roman"/>
          <w:sz w:val="24"/>
          <w:szCs w:val="24"/>
        </w:rPr>
        <w:t xml:space="preserve">Instruction </w:t>
      </w:r>
      <w:r w:rsidR="00484150" w:rsidRPr="008C0ABC">
        <w:rPr>
          <w:rFonts w:ascii="Times New Roman" w:hAnsi="Times New Roman" w:cs="Times New Roman"/>
          <w:sz w:val="24"/>
          <w:szCs w:val="24"/>
        </w:rPr>
        <w:t>should</w:t>
      </w:r>
      <w:r w:rsidRPr="008C0ABC">
        <w:rPr>
          <w:rFonts w:ascii="Times New Roman" w:hAnsi="Times New Roman" w:cs="Times New Roman"/>
          <w:sz w:val="24"/>
          <w:szCs w:val="24"/>
        </w:rPr>
        <w:t xml:space="preserve"> be replaced for funded course releases (buy-outs)</w:t>
      </w:r>
    </w:p>
    <w:p w:rsidR="000832E2" w:rsidRPr="008C0ABC" w:rsidRDefault="000832E2" w:rsidP="00266EA8">
      <w:pPr>
        <w:pStyle w:val="ListParagraph"/>
        <w:numPr>
          <w:ilvl w:val="1"/>
          <w:numId w:val="1"/>
        </w:numPr>
        <w:ind w:left="720"/>
        <w:rPr>
          <w:rFonts w:ascii="Times New Roman" w:hAnsi="Times New Roman" w:cs="Times New Roman"/>
          <w:sz w:val="24"/>
          <w:szCs w:val="24"/>
        </w:rPr>
      </w:pPr>
      <w:r w:rsidRPr="008C0ABC">
        <w:rPr>
          <w:rFonts w:ascii="Times New Roman" w:hAnsi="Times New Roman" w:cs="Times New Roman"/>
          <w:sz w:val="24"/>
          <w:szCs w:val="24"/>
        </w:rPr>
        <w:t>Committee work and participating in regular department/campus activity is included in the service component of a Faculty member’s appointment: teaching, research, &amp; service – extraordinary service can be compensated for in a manner other than course releases (temporary base adjustments – if funding is available, consideration in annual reviews for salary increases – meritorious service work)</w:t>
      </w:r>
    </w:p>
    <w:p w:rsidR="0062179D" w:rsidRPr="008C0ABC" w:rsidRDefault="0062179D" w:rsidP="00266EA8">
      <w:pPr>
        <w:pStyle w:val="ListParagraph"/>
        <w:numPr>
          <w:ilvl w:val="1"/>
          <w:numId w:val="1"/>
        </w:numPr>
        <w:ind w:left="720"/>
        <w:rPr>
          <w:rFonts w:ascii="Times New Roman" w:hAnsi="Times New Roman" w:cs="Times New Roman"/>
          <w:sz w:val="24"/>
          <w:szCs w:val="24"/>
        </w:rPr>
      </w:pPr>
      <w:r w:rsidRPr="008C0ABC">
        <w:rPr>
          <w:rFonts w:ascii="Times New Roman" w:hAnsi="Times New Roman" w:cs="Times New Roman"/>
          <w:sz w:val="24"/>
          <w:szCs w:val="24"/>
        </w:rPr>
        <w:t>Other course releases can be considered for other service work (e.g. Journal Editor) if funding is obtained to cover the instruction</w:t>
      </w:r>
      <w:r w:rsidR="000832E2" w:rsidRPr="008C0ABC">
        <w:rPr>
          <w:rFonts w:ascii="Times New Roman" w:hAnsi="Times New Roman" w:cs="Times New Roman"/>
          <w:sz w:val="24"/>
          <w:szCs w:val="24"/>
        </w:rPr>
        <w:br/>
      </w:r>
    </w:p>
    <w:p w:rsidR="000832E2" w:rsidRPr="008C0ABC" w:rsidRDefault="000832E2" w:rsidP="00266EA8">
      <w:pPr>
        <w:pStyle w:val="ListParagraph"/>
        <w:numPr>
          <w:ilvl w:val="0"/>
          <w:numId w:val="1"/>
        </w:numPr>
        <w:ind w:left="360"/>
        <w:rPr>
          <w:rFonts w:ascii="Times New Roman" w:hAnsi="Times New Roman" w:cs="Times New Roman"/>
          <w:sz w:val="24"/>
          <w:szCs w:val="24"/>
        </w:rPr>
      </w:pPr>
      <w:r w:rsidRPr="008C0ABC">
        <w:rPr>
          <w:rFonts w:ascii="Times New Roman" w:hAnsi="Times New Roman" w:cs="Times New Roman"/>
          <w:sz w:val="24"/>
          <w:szCs w:val="24"/>
        </w:rPr>
        <w:t>Faculty</w:t>
      </w:r>
      <w:r w:rsidR="00415049" w:rsidRPr="008C0ABC">
        <w:rPr>
          <w:rFonts w:ascii="Times New Roman" w:hAnsi="Times New Roman" w:cs="Times New Roman"/>
          <w:sz w:val="24"/>
          <w:szCs w:val="24"/>
        </w:rPr>
        <w:t>/Instructional Staff</w:t>
      </w:r>
      <w:r w:rsidRPr="008C0ABC">
        <w:rPr>
          <w:rFonts w:ascii="Times New Roman" w:hAnsi="Times New Roman" w:cs="Times New Roman"/>
          <w:sz w:val="24"/>
          <w:szCs w:val="24"/>
        </w:rPr>
        <w:t xml:space="preserve"> </w:t>
      </w:r>
      <w:r w:rsidRPr="008C0ABC">
        <w:rPr>
          <w:rFonts w:ascii="Times New Roman" w:hAnsi="Times New Roman" w:cs="Times New Roman"/>
          <w:b/>
          <w:sz w:val="24"/>
          <w:szCs w:val="24"/>
        </w:rPr>
        <w:t>Buy-Outs</w:t>
      </w:r>
      <w:r w:rsidRPr="008C0ABC">
        <w:rPr>
          <w:rFonts w:ascii="Times New Roman" w:hAnsi="Times New Roman" w:cs="Times New Roman"/>
          <w:sz w:val="24"/>
          <w:szCs w:val="24"/>
        </w:rPr>
        <w:t xml:space="preserve"> </w:t>
      </w:r>
      <w:r w:rsidR="00484150" w:rsidRPr="008C0ABC">
        <w:rPr>
          <w:rFonts w:ascii="Times New Roman" w:hAnsi="Times New Roman" w:cs="Times New Roman"/>
          <w:sz w:val="24"/>
          <w:szCs w:val="24"/>
        </w:rPr>
        <w:br/>
      </w:r>
      <w:r w:rsidRPr="008C0ABC">
        <w:rPr>
          <w:rFonts w:ascii="Times New Roman" w:hAnsi="Times New Roman" w:cs="Times New Roman"/>
          <w:sz w:val="24"/>
          <w:szCs w:val="24"/>
        </w:rPr>
        <w:t xml:space="preserve">Instruction </w:t>
      </w:r>
      <w:r w:rsidR="00484150" w:rsidRPr="008C0ABC">
        <w:rPr>
          <w:rFonts w:ascii="Times New Roman" w:hAnsi="Times New Roman" w:cs="Times New Roman"/>
          <w:sz w:val="24"/>
          <w:szCs w:val="24"/>
        </w:rPr>
        <w:t>should</w:t>
      </w:r>
      <w:r w:rsidRPr="008C0ABC">
        <w:rPr>
          <w:rFonts w:ascii="Times New Roman" w:hAnsi="Times New Roman" w:cs="Times New Roman"/>
          <w:sz w:val="24"/>
          <w:szCs w:val="24"/>
        </w:rPr>
        <w:t xml:space="preserve"> be replaced for funded course releases (buy-outs)</w:t>
      </w:r>
      <w:r w:rsidR="008C0ABC" w:rsidRPr="008C0ABC">
        <w:rPr>
          <w:rFonts w:ascii="Times New Roman" w:hAnsi="Times New Roman" w:cs="Times New Roman"/>
          <w:sz w:val="24"/>
          <w:szCs w:val="24"/>
        </w:rPr>
        <w:t>.</w:t>
      </w:r>
      <w:r w:rsidRPr="008C0ABC">
        <w:rPr>
          <w:rFonts w:ascii="Times New Roman" w:hAnsi="Times New Roman" w:cs="Times New Roman"/>
          <w:sz w:val="24"/>
          <w:szCs w:val="24"/>
        </w:rPr>
        <w:br/>
      </w:r>
      <w:r w:rsidRPr="008C0ABC">
        <w:rPr>
          <w:rFonts w:ascii="Times New Roman" w:hAnsi="Times New Roman" w:cs="Times New Roman"/>
          <w:b/>
          <w:i/>
          <w:sz w:val="24"/>
          <w:szCs w:val="24"/>
        </w:rPr>
        <w:t>Departments must seek approval from the Dean for the use of the funds.</w:t>
      </w:r>
      <w:r w:rsidRPr="008C0ABC">
        <w:rPr>
          <w:rFonts w:ascii="Times New Roman" w:hAnsi="Times New Roman" w:cs="Times New Roman"/>
          <w:sz w:val="24"/>
          <w:szCs w:val="24"/>
        </w:rPr>
        <w:br/>
        <w:t xml:space="preserve">The funds </w:t>
      </w:r>
      <w:r w:rsidR="00030DFF" w:rsidRPr="008C0ABC">
        <w:rPr>
          <w:rFonts w:ascii="Times New Roman" w:hAnsi="Times New Roman" w:cs="Times New Roman"/>
          <w:sz w:val="24"/>
          <w:szCs w:val="24"/>
        </w:rPr>
        <w:t>should</w:t>
      </w:r>
      <w:r w:rsidRPr="008C0ABC">
        <w:rPr>
          <w:rFonts w:ascii="Times New Roman" w:hAnsi="Times New Roman" w:cs="Times New Roman"/>
          <w:sz w:val="24"/>
          <w:szCs w:val="24"/>
        </w:rPr>
        <w:t xml:space="preserve"> be used in the following order of priority:</w:t>
      </w:r>
    </w:p>
    <w:p w:rsidR="00030DFF" w:rsidRPr="008C0ABC" w:rsidRDefault="00030DFF" w:rsidP="00266EA8">
      <w:pPr>
        <w:pStyle w:val="ListParagraph"/>
        <w:numPr>
          <w:ilvl w:val="2"/>
          <w:numId w:val="3"/>
        </w:numPr>
        <w:ind w:left="720" w:hanging="360"/>
        <w:rPr>
          <w:rFonts w:ascii="Times New Roman" w:hAnsi="Times New Roman" w:cs="Times New Roman"/>
          <w:sz w:val="24"/>
          <w:szCs w:val="24"/>
        </w:rPr>
      </w:pPr>
      <w:r w:rsidRPr="008C0ABC">
        <w:rPr>
          <w:rFonts w:ascii="Times New Roman" w:hAnsi="Times New Roman" w:cs="Times New Roman"/>
          <w:sz w:val="24"/>
          <w:szCs w:val="24"/>
        </w:rPr>
        <w:t>Cover the Department’s Required Savings (Mortgage)</w:t>
      </w:r>
    </w:p>
    <w:p w:rsidR="00F86197" w:rsidRPr="008C0ABC" w:rsidRDefault="00F86197" w:rsidP="00266EA8">
      <w:pPr>
        <w:pStyle w:val="ListParagraph"/>
        <w:numPr>
          <w:ilvl w:val="2"/>
          <w:numId w:val="3"/>
        </w:numPr>
        <w:ind w:left="720" w:hanging="360"/>
        <w:rPr>
          <w:rFonts w:ascii="Times New Roman" w:hAnsi="Times New Roman" w:cs="Times New Roman"/>
          <w:sz w:val="24"/>
          <w:szCs w:val="24"/>
        </w:rPr>
      </w:pPr>
      <w:r w:rsidRPr="008C0ABC">
        <w:rPr>
          <w:rFonts w:ascii="Times New Roman" w:hAnsi="Times New Roman" w:cs="Times New Roman"/>
          <w:sz w:val="24"/>
          <w:szCs w:val="24"/>
        </w:rPr>
        <w:t>Cover course instruction</w:t>
      </w:r>
    </w:p>
    <w:p w:rsidR="000832E2" w:rsidRPr="002465DB" w:rsidRDefault="000832E2" w:rsidP="002465DB">
      <w:pPr>
        <w:pStyle w:val="ListParagraph"/>
        <w:numPr>
          <w:ilvl w:val="2"/>
          <w:numId w:val="3"/>
        </w:numPr>
        <w:spacing w:after="0"/>
        <w:ind w:left="720" w:hanging="360"/>
        <w:rPr>
          <w:rFonts w:ascii="Times New Roman" w:hAnsi="Times New Roman" w:cs="Times New Roman"/>
          <w:sz w:val="24"/>
          <w:szCs w:val="24"/>
        </w:rPr>
      </w:pPr>
      <w:r w:rsidRPr="008C0ABC">
        <w:rPr>
          <w:rFonts w:ascii="Times New Roman" w:hAnsi="Times New Roman" w:cs="Times New Roman"/>
          <w:sz w:val="24"/>
          <w:szCs w:val="24"/>
        </w:rPr>
        <w:t>Proposed use to further the strategic direction of the department</w:t>
      </w:r>
      <w:r w:rsidRPr="002465DB">
        <w:rPr>
          <w:rFonts w:ascii="Times New Roman" w:hAnsi="Times New Roman" w:cs="Times New Roman"/>
          <w:sz w:val="24"/>
          <w:szCs w:val="24"/>
        </w:rPr>
        <w:br/>
      </w:r>
    </w:p>
    <w:p w:rsidR="002465DB" w:rsidRDefault="002465DB" w:rsidP="002465D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Faculty Chairs and Professorships</w:t>
      </w:r>
    </w:p>
    <w:p w:rsidR="002465DB" w:rsidRDefault="002465DB" w:rsidP="002465DB">
      <w:pPr>
        <w:pStyle w:val="ListParagraph"/>
        <w:numPr>
          <w:ilvl w:val="1"/>
          <w:numId w:val="1"/>
        </w:numPr>
        <w:ind w:left="720"/>
        <w:rPr>
          <w:rFonts w:ascii="Times New Roman" w:hAnsi="Times New Roman" w:cs="Times New Roman"/>
          <w:sz w:val="24"/>
          <w:szCs w:val="24"/>
        </w:rPr>
      </w:pPr>
      <w:r>
        <w:rPr>
          <w:rFonts w:ascii="Times New Roman" w:hAnsi="Times New Roman" w:cs="Times New Roman"/>
          <w:sz w:val="24"/>
          <w:szCs w:val="24"/>
        </w:rPr>
        <w:t>A minimum of 50% of the annual income from a professorship or chair must be used to fund a portion of the faculty member’s base salary</w:t>
      </w:r>
    </w:p>
    <w:p w:rsidR="002465DB" w:rsidRPr="002465DB" w:rsidRDefault="009A6284" w:rsidP="002465DB">
      <w:pPr>
        <w:pStyle w:val="ListParagraph"/>
        <w:numPr>
          <w:ilvl w:val="1"/>
          <w:numId w:val="1"/>
        </w:numPr>
        <w:ind w:left="720"/>
        <w:rPr>
          <w:rFonts w:ascii="Times New Roman" w:hAnsi="Times New Roman" w:cs="Times New Roman"/>
          <w:sz w:val="24"/>
          <w:szCs w:val="24"/>
        </w:rPr>
      </w:pPr>
      <w:r>
        <w:rPr>
          <w:rFonts w:ascii="Times New Roman" w:hAnsi="Times New Roman" w:cs="Times New Roman"/>
          <w:sz w:val="24"/>
          <w:szCs w:val="24"/>
        </w:rPr>
        <w:t>40</w:t>
      </w:r>
      <w:r w:rsidR="002465DB">
        <w:rPr>
          <w:rFonts w:ascii="Times New Roman" w:hAnsi="Times New Roman" w:cs="Times New Roman"/>
          <w:sz w:val="24"/>
          <w:szCs w:val="24"/>
        </w:rPr>
        <w:t xml:space="preserve">% of the realized salary savings will be returned to the SoE </w:t>
      </w:r>
      <w:r w:rsidR="000E4D73">
        <w:rPr>
          <w:rFonts w:ascii="Times New Roman" w:hAnsi="Times New Roman" w:cs="Times New Roman"/>
          <w:sz w:val="24"/>
          <w:szCs w:val="24"/>
        </w:rPr>
        <w:br/>
      </w:r>
    </w:p>
    <w:p w:rsidR="00322D43" w:rsidRPr="008C0ABC" w:rsidRDefault="00AA08ED" w:rsidP="00266EA8">
      <w:pPr>
        <w:pStyle w:val="ListParagraph"/>
        <w:numPr>
          <w:ilvl w:val="0"/>
          <w:numId w:val="1"/>
        </w:numPr>
        <w:ind w:left="360"/>
        <w:rPr>
          <w:rFonts w:ascii="Times New Roman" w:hAnsi="Times New Roman" w:cs="Times New Roman"/>
          <w:sz w:val="24"/>
          <w:szCs w:val="24"/>
        </w:rPr>
      </w:pPr>
      <w:r w:rsidRPr="008C0ABC">
        <w:rPr>
          <w:rFonts w:ascii="Times New Roman" w:hAnsi="Times New Roman" w:cs="Times New Roman"/>
          <w:sz w:val="24"/>
          <w:szCs w:val="24"/>
        </w:rPr>
        <w:lastRenderedPageBreak/>
        <w:t>Fund 136 revenue producing activities and programs</w:t>
      </w:r>
      <w:r w:rsidR="00EA5689" w:rsidRPr="008C0ABC">
        <w:rPr>
          <w:rFonts w:ascii="Times New Roman" w:hAnsi="Times New Roman" w:cs="Times New Roman"/>
          <w:sz w:val="24"/>
          <w:szCs w:val="24"/>
        </w:rPr>
        <w:t>, and programs funded directly by UW-Madison or the UW System</w:t>
      </w:r>
      <w:r w:rsidRPr="008C0ABC">
        <w:rPr>
          <w:rFonts w:ascii="Times New Roman" w:hAnsi="Times New Roman" w:cs="Times New Roman"/>
          <w:sz w:val="24"/>
          <w:szCs w:val="24"/>
        </w:rPr>
        <w:t xml:space="preserve"> will be expected to fund their supplies and equipment and will </w:t>
      </w:r>
      <w:r w:rsidR="004A6FE1">
        <w:rPr>
          <w:rFonts w:ascii="Times New Roman" w:hAnsi="Times New Roman" w:cs="Times New Roman"/>
          <w:sz w:val="24"/>
          <w:szCs w:val="24"/>
        </w:rPr>
        <w:t xml:space="preserve">not </w:t>
      </w:r>
      <w:r w:rsidRPr="008C0ABC">
        <w:rPr>
          <w:rFonts w:ascii="Times New Roman" w:hAnsi="Times New Roman" w:cs="Times New Roman"/>
          <w:sz w:val="24"/>
          <w:szCs w:val="24"/>
        </w:rPr>
        <w:t xml:space="preserve">be part of the </w:t>
      </w:r>
      <w:r w:rsidR="004A6FE1">
        <w:rPr>
          <w:rFonts w:ascii="Times New Roman" w:hAnsi="Times New Roman" w:cs="Times New Roman"/>
          <w:sz w:val="24"/>
          <w:szCs w:val="24"/>
        </w:rPr>
        <w:t xml:space="preserve">research overhead </w:t>
      </w:r>
      <w:r w:rsidRPr="008C0ABC">
        <w:rPr>
          <w:rFonts w:ascii="Times New Roman" w:hAnsi="Times New Roman" w:cs="Times New Roman"/>
          <w:sz w:val="24"/>
          <w:szCs w:val="24"/>
        </w:rPr>
        <w:t>Fund 150 exercise</w:t>
      </w:r>
      <w:r w:rsidR="008C0ABC" w:rsidRPr="008C0ABC">
        <w:rPr>
          <w:rFonts w:ascii="Times New Roman" w:hAnsi="Times New Roman" w:cs="Times New Roman"/>
          <w:sz w:val="24"/>
          <w:szCs w:val="24"/>
        </w:rPr>
        <w:t>.</w:t>
      </w:r>
    </w:p>
    <w:p w:rsidR="00322D43" w:rsidRPr="008C0ABC" w:rsidRDefault="00322D43" w:rsidP="00266EA8">
      <w:pPr>
        <w:pStyle w:val="ListParagraph"/>
        <w:ind w:left="360" w:hanging="360"/>
        <w:rPr>
          <w:rFonts w:ascii="Times New Roman" w:hAnsi="Times New Roman" w:cs="Times New Roman"/>
          <w:sz w:val="24"/>
          <w:szCs w:val="24"/>
        </w:rPr>
      </w:pPr>
    </w:p>
    <w:p w:rsidR="004067E3" w:rsidRDefault="00322D43" w:rsidP="0017648F">
      <w:pPr>
        <w:pStyle w:val="ListParagraph"/>
        <w:numPr>
          <w:ilvl w:val="0"/>
          <w:numId w:val="1"/>
        </w:numPr>
        <w:ind w:left="360"/>
        <w:rPr>
          <w:rFonts w:ascii="Times New Roman" w:hAnsi="Times New Roman" w:cs="Times New Roman"/>
          <w:sz w:val="24"/>
          <w:szCs w:val="24"/>
        </w:rPr>
      </w:pPr>
      <w:r w:rsidRPr="008C0ABC">
        <w:rPr>
          <w:rFonts w:ascii="Times New Roman" w:hAnsi="Times New Roman" w:cs="Times New Roman"/>
          <w:sz w:val="24"/>
          <w:szCs w:val="24"/>
        </w:rPr>
        <w:t xml:space="preserve">Fund 136 revenue producing activities and programs will </w:t>
      </w:r>
      <w:r w:rsidR="00D0797A">
        <w:rPr>
          <w:rFonts w:ascii="Times New Roman" w:hAnsi="Times New Roman" w:cs="Times New Roman"/>
          <w:sz w:val="24"/>
          <w:szCs w:val="24"/>
        </w:rPr>
        <w:t xml:space="preserve">be </w:t>
      </w:r>
      <w:r w:rsidRPr="008C0ABC">
        <w:rPr>
          <w:rFonts w:ascii="Times New Roman" w:hAnsi="Times New Roman" w:cs="Times New Roman"/>
          <w:sz w:val="24"/>
          <w:szCs w:val="24"/>
        </w:rPr>
        <w:t xml:space="preserve">assessed a </w:t>
      </w:r>
      <w:r w:rsidR="004A6FE1">
        <w:rPr>
          <w:rFonts w:ascii="Times New Roman" w:hAnsi="Times New Roman" w:cs="Times New Roman"/>
          <w:sz w:val="24"/>
          <w:szCs w:val="24"/>
        </w:rPr>
        <w:t>4</w:t>
      </w:r>
      <w:r w:rsidRPr="008C0ABC">
        <w:rPr>
          <w:rFonts w:ascii="Times New Roman" w:hAnsi="Times New Roman" w:cs="Times New Roman"/>
          <w:sz w:val="24"/>
          <w:szCs w:val="24"/>
        </w:rPr>
        <w:t xml:space="preserve">% fee on </w:t>
      </w:r>
      <w:r w:rsidR="0017648F">
        <w:rPr>
          <w:rFonts w:ascii="Times New Roman" w:hAnsi="Times New Roman" w:cs="Times New Roman"/>
          <w:sz w:val="24"/>
          <w:szCs w:val="24"/>
        </w:rPr>
        <w:t xml:space="preserve">the previous fiscal year’s </w:t>
      </w:r>
      <w:r w:rsidRPr="008C0ABC">
        <w:rPr>
          <w:rFonts w:ascii="Times New Roman" w:hAnsi="Times New Roman" w:cs="Times New Roman"/>
          <w:sz w:val="24"/>
          <w:szCs w:val="24"/>
        </w:rPr>
        <w:t xml:space="preserve">expenditures to contribute </w:t>
      </w:r>
      <w:r w:rsidR="004E15FD" w:rsidRPr="008C0ABC">
        <w:rPr>
          <w:rFonts w:ascii="Times New Roman" w:hAnsi="Times New Roman" w:cs="Times New Roman"/>
          <w:sz w:val="24"/>
          <w:szCs w:val="24"/>
        </w:rPr>
        <w:t>to SoE central support services</w:t>
      </w:r>
      <w:r w:rsidR="008C0ABC" w:rsidRPr="008C0ABC">
        <w:rPr>
          <w:rFonts w:ascii="Times New Roman" w:hAnsi="Times New Roman" w:cs="Times New Roman"/>
          <w:sz w:val="24"/>
          <w:szCs w:val="24"/>
        </w:rPr>
        <w:t xml:space="preserve">. </w:t>
      </w:r>
      <w:r w:rsidR="004A6FE1">
        <w:rPr>
          <w:rFonts w:ascii="Times New Roman" w:hAnsi="Times New Roman" w:cs="Times New Roman"/>
          <w:sz w:val="24"/>
          <w:szCs w:val="24"/>
        </w:rPr>
        <w:t xml:space="preserve">The campus </w:t>
      </w:r>
      <w:r w:rsidR="0017648F">
        <w:rPr>
          <w:rFonts w:ascii="Times New Roman" w:hAnsi="Times New Roman" w:cs="Times New Roman"/>
          <w:sz w:val="24"/>
          <w:szCs w:val="24"/>
        </w:rPr>
        <w:t xml:space="preserve">is currently </w:t>
      </w:r>
      <w:r w:rsidR="004A6FE1">
        <w:rPr>
          <w:rFonts w:ascii="Times New Roman" w:hAnsi="Times New Roman" w:cs="Times New Roman"/>
          <w:sz w:val="24"/>
          <w:szCs w:val="24"/>
        </w:rPr>
        <w:t>assess</w:t>
      </w:r>
      <w:r w:rsidR="0017648F">
        <w:rPr>
          <w:rFonts w:ascii="Times New Roman" w:hAnsi="Times New Roman" w:cs="Times New Roman"/>
          <w:sz w:val="24"/>
          <w:szCs w:val="24"/>
        </w:rPr>
        <w:t xml:space="preserve">ing </w:t>
      </w:r>
      <w:r w:rsidR="004A6FE1">
        <w:rPr>
          <w:rFonts w:ascii="Times New Roman" w:hAnsi="Times New Roman" w:cs="Times New Roman"/>
          <w:sz w:val="24"/>
          <w:szCs w:val="24"/>
        </w:rPr>
        <w:t>5% on expenditur</w:t>
      </w:r>
      <w:r w:rsidR="0017648F">
        <w:rPr>
          <w:rFonts w:ascii="Times New Roman" w:hAnsi="Times New Roman" w:cs="Times New Roman"/>
          <w:sz w:val="24"/>
          <w:szCs w:val="24"/>
        </w:rPr>
        <w:t>es for fund 136 programs</w:t>
      </w:r>
      <w:r w:rsidR="004A6FE1">
        <w:rPr>
          <w:rFonts w:ascii="Times New Roman" w:hAnsi="Times New Roman" w:cs="Times New Roman"/>
          <w:sz w:val="24"/>
          <w:szCs w:val="24"/>
        </w:rPr>
        <w:t>.</w:t>
      </w:r>
      <w:r w:rsidR="0017648F" w:rsidRPr="0017648F">
        <w:rPr>
          <w:rFonts w:ascii="Times New Roman" w:hAnsi="Times New Roman" w:cs="Times New Roman"/>
          <w:sz w:val="24"/>
          <w:szCs w:val="24"/>
        </w:rPr>
        <w:t xml:space="preserve"> </w:t>
      </w:r>
      <w:r w:rsidR="0017648F" w:rsidRPr="008C0ABC">
        <w:rPr>
          <w:rFonts w:ascii="Times New Roman" w:hAnsi="Times New Roman" w:cs="Times New Roman"/>
          <w:sz w:val="24"/>
          <w:szCs w:val="24"/>
        </w:rPr>
        <w:t xml:space="preserve">The hosting department/unit </w:t>
      </w:r>
      <w:r w:rsidR="0017648F">
        <w:rPr>
          <w:rFonts w:ascii="Times New Roman" w:hAnsi="Times New Roman" w:cs="Times New Roman"/>
          <w:sz w:val="24"/>
          <w:szCs w:val="24"/>
        </w:rPr>
        <w:t>is</w:t>
      </w:r>
      <w:r w:rsidR="0017648F" w:rsidRPr="008C0ABC">
        <w:rPr>
          <w:rFonts w:ascii="Times New Roman" w:hAnsi="Times New Roman" w:cs="Times New Roman"/>
          <w:sz w:val="24"/>
          <w:szCs w:val="24"/>
        </w:rPr>
        <w:t xml:space="preserve"> responsible for the 136 fund balance. If these projects develop a deficit, the department/unit must bring the fund into balance.</w:t>
      </w:r>
    </w:p>
    <w:p w:rsidR="004067E3" w:rsidRPr="004067E3" w:rsidRDefault="004067E3" w:rsidP="004067E3">
      <w:pPr>
        <w:pStyle w:val="ListParagraph"/>
        <w:rPr>
          <w:rFonts w:ascii="Times New Roman" w:hAnsi="Times New Roman" w:cs="Times New Roman"/>
          <w:sz w:val="24"/>
          <w:szCs w:val="24"/>
        </w:rPr>
      </w:pPr>
    </w:p>
    <w:p w:rsidR="004067E3" w:rsidRDefault="004067E3" w:rsidP="004067E3">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Fund 131</w:t>
      </w:r>
      <w:r w:rsidR="004F15D3">
        <w:rPr>
          <w:rFonts w:ascii="Times New Roman" w:hAnsi="Times New Roman" w:cs="Times New Roman"/>
          <w:sz w:val="24"/>
          <w:szCs w:val="24"/>
        </w:rPr>
        <w:t>, non-pooled</w:t>
      </w:r>
      <w:r>
        <w:rPr>
          <w:rFonts w:ascii="Times New Roman" w:hAnsi="Times New Roman" w:cs="Times New Roman"/>
          <w:sz w:val="24"/>
          <w:szCs w:val="24"/>
        </w:rPr>
        <w:t xml:space="preserve"> tuition </w:t>
      </w:r>
      <w:r w:rsidRPr="004F15D3">
        <w:rPr>
          <w:rFonts w:ascii="Times New Roman" w:hAnsi="Times New Roman" w:cs="Times New Roman"/>
          <w:b/>
          <w:i/>
          <w:sz w:val="24"/>
          <w:szCs w:val="24"/>
        </w:rPr>
        <w:t>programs</w:t>
      </w:r>
      <w:r>
        <w:rPr>
          <w:rFonts w:ascii="Times New Roman" w:hAnsi="Times New Roman" w:cs="Times New Roman"/>
          <w:sz w:val="24"/>
          <w:szCs w:val="24"/>
        </w:rPr>
        <w:t xml:space="preserve">. 1/3 of the net revenue from these programs will go to the School of Education as overhead support; 2/3 of the net revenue will stay with the host department for their program expenses.  </w:t>
      </w:r>
      <w:r w:rsidRPr="008C0ABC">
        <w:rPr>
          <w:rFonts w:ascii="Times New Roman" w:hAnsi="Times New Roman" w:cs="Times New Roman"/>
          <w:sz w:val="24"/>
          <w:szCs w:val="24"/>
        </w:rPr>
        <w:t>The hosting department/unit will be responsible for the 1</w:t>
      </w:r>
      <w:r>
        <w:rPr>
          <w:rFonts w:ascii="Times New Roman" w:hAnsi="Times New Roman" w:cs="Times New Roman"/>
          <w:sz w:val="24"/>
          <w:szCs w:val="24"/>
        </w:rPr>
        <w:t>31</w:t>
      </w:r>
      <w:r w:rsidRPr="008C0ABC">
        <w:rPr>
          <w:rFonts w:ascii="Times New Roman" w:hAnsi="Times New Roman" w:cs="Times New Roman"/>
          <w:sz w:val="24"/>
          <w:szCs w:val="24"/>
        </w:rPr>
        <w:t xml:space="preserve"> fund balance. If these pro</w:t>
      </w:r>
      <w:r>
        <w:rPr>
          <w:rFonts w:ascii="Times New Roman" w:hAnsi="Times New Roman" w:cs="Times New Roman"/>
          <w:sz w:val="24"/>
          <w:szCs w:val="24"/>
        </w:rPr>
        <w:t>grams</w:t>
      </w:r>
      <w:r w:rsidRPr="008C0ABC">
        <w:rPr>
          <w:rFonts w:ascii="Times New Roman" w:hAnsi="Times New Roman" w:cs="Times New Roman"/>
          <w:sz w:val="24"/>
          <w:szCs w:val="24"/>
        </w:rPr>
        <w:t xml:space="preserve"> develop a deficit, the department/unit must bring the fund into balance.</w:t>
      </w:r>
      <w:r w:rsidR="004A6FE1">
        <w:rPr>
          <w:rFonts w:ascii="Times New Roman" w:hAnsi="Times New Roman" w:cs="Times New Roman"/>
          <w:sz w:val="24"/>
          <w:szCs w:val="24"/>
        </w:rPr>
        <w:t xml:space="preserve"> The campus will initiate a 10% assessment on the gross revenue for fund 131 programs in FY16.</w:t>
      </w:r>
      <w:r>
        <w:rPr>
          <w:rFonts w:ascii="Times New Roman" w:hAnsi="Times New Roman" w:cs="Times New Roman"/>
          <w:sz w:val="24"/>
          <w:szCs w:val="24"/>
        </w:rPr>
        <w:br/>
      </w:r>
    </w:p>
    <w:p w:rsidR="00347FBF" w:rsidRPr="008C0ABC" w:rsidRDefault="004067E3" w:rsidP="00266EA8">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Fund 131</w:t>
      </w:r>
      <w:r w:rsidR="004F15D3">
        <w:rPr>
          <w:rFonts w:ascii="Times New Roman" w:hAnsi="Times New Roman" w:cs="Times New Roman"/>
          <w:sz w:val="24"/>
          <w:szCs w:val="24"/>
        </w:rPr>
        <w:t>, non-pooled</w:t>
      </w:r>
      <w:r>
        <w:rPr>
          <w:rFonts w:ascii="Times New Roman" w:hAnsi="Times New Roman" w:cs="Times New Roman"/>
          <w:sz w:val="24"/>
          <w:szCs w:val="24"/>
        </w:rPr>
        <w:t xml:space="preserve"> </w:t>
      </w:r>
      <w:r w:rsidRPr="004F15D3">
        <w:rPr>
          <w:rFonts w:ascii="Times New Roman" w:hAnsi="Times New Roman" w:cs="Times New Roman"/>
          <w:b/>
          <w:i/>
          <w:sz w:val="24"/>
          <w:szCs w:val="24"/>
        </w:rPr>
        <w:t>courses</w:t>
      </w:r>
      <w:r>
        <w:rPr>
          <w:rFonts w:ascii="Times New Roman" w:hAnsi="Times New Roman" w:cs="Times New Roman"/>
          <w:sz w:val="24"/>
          <w:szCs w:val="24"/>
        </w:rPr>
        <w:t xml:space="preserve"> will be managed by Education Outreach &amp; Partnerships (EOP) in 2015-16. 1/3 of the net revenue from these programs will go to EOP as overhead support; 2/3 of the net revenue will stay with the host department.  EOP w</w:t>
      </w:r>
      <w:r w:rsidRPr="008C0ABC">
        <w:rPr>
          <w:rFonts w:ascii="Times New Roman" w:hAnsi="Times New Roman" w:cs="Times New Roman"/>
          <w:sz w:val="24"/>
          <w:szCs w:val="24"/>
        </w:rPr>
        <w:t>ill be responsible for the 1</w:t>
      </w:r>
      <w:r>
        <w:rPr>
          <w:rFonts w:ascii="Times New Roman" w:hAnsi="Times New Roman" w:cs="Times New Roman"/>
          <w:sz w:val="24"/>
          <w:szCs w:val="24"/>
        </w:rPr>
        <w:t>31</w:t>
      </w:r>
      <w:r w:rsidRPr="008C0ABC">
        <w:rPr>
          <w:rFonts w:ascii="Times New Roman" w:hAnsi="Times New Roman" w:cs="Times New Roman"/>
          <w:sz w:val="24"/>
          <w:szCs w:val="24"/>
        </w:rPr>
        <w:t xml:space="preserve"> fund balance. If these pro</w:t>
      </w:r>
      <w:r>
        <w:rPr>
          <w:rFonts w:ascii="Times New Roman" w:hAnsi="Times New Roman" w:cs="Times New Roman"/>
          <w:sz w:val="24"/>
          <w:szCs w:val="24"/>
        </w:rPr>
        <w:t>grams</w:t>
      </w:r>
      <w:r w:rsidRPr="008C0ABC">
        <w:rPr>
          <w:rFonts w:ascii="Times New Roman" w:hAnsi="Times New Roman" w:cs="Times New Roman"/>
          <w:sz w:val="24"/>
          <w:szCs w:val="24"/>
        </w:rPr>
        <w:t xml:space="preserve"> develop a deficit, </w:t>
      </w:r>
      <w:r>
        <w:rPr>
          <w:rFonts w:ascii="Times New Roman" w:hAnsi="Times New Roman" w:cs="Times New Roman"/>
          <w:sz w:val="24"/>
          <w:szCs w:val="24"/>
        </w:rPr>
        <w:t xml:space="preserve">EOP </w:t>
      </w:r>
      <w:r w:rsidRPr="008C0ABC">
        <w:rPr>
          <w:rFonts w:ascii="Times New Roman" w:hAnsi="Times New Roman" w:cs="Times New Roman"/>
          <w:sz w:val="24"/>
          <w:szCs w:val="24"/>
        </w:rPr>
        <w:t>must bring the fund into balance.</w:t>
      </w:r>
      <w:r w:rsidR="00322D43" w:rsidRPr="008C0ABC">
        <w:rPr>
          <w:rFonts w:ascii="Times New Roman" w:hAnsi="Times New Roman" w:cs="Times New Roman"/>
          <w:sz w:val="24"/>
          <w:szCs w:val="24"/>
        </w:rPr>
        <w:br/>
      </w:r>
    </w:p>
    <w:p w:rsidR="009E75CD" w:rsidRPr="008C0ABC" w:rsidRDefault="00F35AF9" w:rsidP="00266EA8">
      <w:pPr>
        <w:pStyle w:val="ListParagraph"/>
        <w:numPr>
          <w:ilvl w:val="0"/>
          <w:numId w:val="1"/>
        </w:numPr>
        <w:ind w:left="360"/>
        <w:rPr>
          <w:rFonts w:ascii="Times New Roman" w:hAnsi="Times New Roman" w:cs="Times New Roman"/>
          <w:sz w:val="24"/>
          <w:szCs w:val="24"/>
        </w:rPr>
      </w:pPr>
      <w:r w:rsidRPr="008C0ABC">
        <w:rPr>
          <w:rFonts w:ascii="Times New Roman" w:hAnsi="Times New Roman" w:cs="Times New Roman"/>
          <w:sz w:val="24"/>
          <w:szCs w:val="24"/>
        </w:rPr>
        <w:t>Research Activity (including Program or Research Assistants) must be funded by gifts/grants or dedicated research funds (including fund 135)</w:t>
      </w:r>
      <w:r w:rsidR="008C0ABC" w:rsidRPr="008C0ABC">
        <w:rPr>
          <w:rFonts w:ascii="Times New Roman" w:hAnsi="Times New Roman" w:cs="Times New Roman"/>
          <w:sz w:val="24"/>
          <w:szCs w:val="24"/>
        </w:rPr>
        <w:t>.</w:t>
      </w:r>
      <w:r w:rsidR="00136B57" w:rsidRPr="008C0ABC">
        <w:rPr>
          <w:rFonts w:ascii="Times New Roman" w:hAnsi="Times New Roman" w:cs="Times New Roman"/>
          <w:sz w:val="24"/>
          <w:szCs w:val="24"/>
        </w:rPr>
        <w:br/>
      </w:r>
    </w:p>
    <w:p w:rsidR="000B145C" w:rsidRDefault="004E15FD" w:rsidP="000B145C">
      <w:pPr>
        <w:pStyle w:val="ListParagraph"/>
        <w:numPr>
          <w:ilvl w:val="0"/>
          <w:numId w:val="1"/>
        </w:numPr>
        <w:ind w:left="360"/>
        <w:rPr>
          <w:rFonts w:ascii="Times New Roman" w:hAnsi="Times New Roman" w:cs="Times New Roman"/>
          <w:sz w:val="24"/>
          <w:szCs w:val="24"/>
        </w:rPr>
      </w:pPr>
      <w:r w:rsidRPr="008C0ABC">
        <w:rPr>
          <w:rFonts w:ascii="Times New Roman" w:hAnsi="Times New Roman" w:cs="Times New Roman"/>
          <w:sz w:val="24"/>
          <w:szCs w:val="24"/>
        </w:rPr>
        <w:t xml:space="preserve">In </w:t>
      </w:r>
      <w:r w:rsidR="008C0ABC" w:rsidRPr="008C0ABC">
        <w:rPr>
          <w:rFonts w:ascii="Times New Roman" w:hAnsi="Times New Roman" w:cs="Times New Roman"/>
          <w:sz w:val="24"/>
          <w:szCs w:val="24"/>
        </w:rPr>
        <w:t>spring</w:t>
      </w:r>
      <w:r w:rsidRPr="008C0ABC">
        <w:rPr>
          <w:rFonts w:ascii="Times New Roman" w:hAnsi="Times New Roman" w:cs="Times New Roman"/>
          <w:sz w:val="24"/>
          <w:szCs w:val="24"/>
        </w:rPr>
        <w:t xml:space="preserve"> 2013, Dean Underwood committed</w:t>
      </w:r>
      <w:r w:rsidR="008E450B" w:rsidRPr="008C0ABC">
        <w:rPr>
          <w:rFonts w:ascii="Times New Roman" w:hAnsi="Times New Roman" w:cs="Times New Roman"/>
          <w:sz w:val="24"/>
          <w:szCs w:val="24"/>
        </w:rPr>
        <w:t xml:space="preserve"> to support faculty fellowships to ensure </w:t>
      </w:r>
      <w:r w:rsidR="008C0ABC" w:rsidRPr="008C0ABC">
        <w:rPr>
          <w:rFonts w:ascii="Times New Roman" w:hAnsi="Times New Roman" w:cs="Times New Roman"/>
          <w:sz w:val="24"/>
          <w:szCs w:val="24"/>
        </w:rPr>
        <w:t xml:space="preserve">that the recipients receive </w:t>
      </w:r>
      <w:r w:rsidR="008E450B" w:rsidRPr="008C0ABC">
        <w:rPr>
          <w:rFonts w:ascii="Times New Roman" w:hAnsi="Times New Roman" w:cs="Times New Roman"/>
          <w:sz w:val="24"/>
          <w:szCs w:val="24"/>
        </w:rPr>
        <w:t>their full UW base salary while in the fellowship</w:t>
      </w:r>
      <w:r w:rsidR="008C0ABC" w:rsidRPr="008C0ABC">
        <w:rPr>
          <w:rFonts w:ascii="Times New Roman" w:hAnsi="Times New Roman" w:cs="Times New Roman"/>
          <w:sz w:val="24"/>
          <w:szCs w:val="24"/>
        </w:rPr>
        <w:t>.</w:t>
      </w:r>
      <w:r w:rsidR="000B145C">
        <w:rPr>
          <w:rFonts w:ascii="Times New Roman" w:hAnsi="Times New Roman" w:cs="Times New Roman"/>
          <w:sz w:val="24"/>
          <w:szCs w:val="24"/>
        </w:rPr>
        <w:br/>
      </w:r>
    </w:p>
    <w:p w:rsidR="007B6175" w:rsidRDefault="000B145C" w:rsidP="000B145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Departments are Units are responsible for maintaining positive (or zero) balances in all of their funds at year end (June 30). Departments and Units will work with the Associate Dean for Administration to cover any deficit with alternate funds. </w:t>
      </w:r>
      <w:r w:rsidR="000E4D73">
        <w:rPr>
          <w:rFonts w:ascii="Times New Roman" w:hAnsi="Times New Roman" w:cs="Times New Roman"/>
          <w:sz w:val="24"/>
          <w:szCs w:val="24"/>
        </w:rPr>
        <w:t xml:space="preserve">Overages on salary allocations will incur the fringe charge the Campus assesses for overspend on 101 salary, 40%. </w:t>
      </w:r>
      <w:r>
        <w:rPr>
          <w:rFonts w:ascii="Times New Roman" w:hAnsi="Times New Roman" w:cs="Times New Roman"/>
          <w:sz w:val="24"/>
          <w:szCs w:val="24"/>
        </w:rPr>
        <w:t xml:space="preserve">Excess fund 101 balances at </w:t>
      </w:r>
      <w:r w:rsidR="000E4D73">
        <w:rPr>
          <w:rFonts w:ascii="Times New Roman" w:hAnsi="Times New Roman" w:cs="Times New Roman"/>
          <w:sz w:val="24"/>
          <w:szCs w:val="24"/>
        </w:rPr>
        <w:t>year-end</w:t>
      </w:r>
      <w:r>
        <w:rPr>
          <w:rFonts w:ascii="Times New Roman" w:hAnsi="Times New Roman" w:cs="Times New Roman"/>
          <w:sz w:val="24"/>
          <w:szCs w:val="24"/>
        </w:rPr>
        <w:t xml:space="preserve"> will be returned to the School of Education and redistributed to support</w:t>
      </w:r>
      <w:r w:rsidR="00B11988">
        <w:rPr>
          <w:rFonts w:ascii="Times New Roman" w:hAnsi="Times New Roman" w:cs="Times New Roman"/>
          <w:sz w:val="24"/>
          <w:szCs w:val="24"/>
        </w:rPr>
        <w:t xml:space="preserve"> School of Education commitments, including the central campus assessments and network fees.</w:t>
      </w:r>
      <w:r w:rsidR="007B6175">
        <w:rPr>
          <w:rFonts w:ascii="Times New Roman" w:hAnsi="Times New Roman" w:cs="Times New Roman"/>
          <w:sz w:val="24"/>
          <w:szCs w:val="24"/>
        </w:rPr>
        <w:br/>
      </w:r>
    </w:p>
    <w:p w:rsidR="007B6175" w:rsidRPr="007B6175" w:rsidRDefault="007B6175" w:rsidP="007B6175">
      <w:pPr>
        <w:pStyle w:val="ListParagraph"/>
        <w:numPr>
          <w:ilvl w:val="0"/>
          <w:numId w:val="1"/>
        </w:numPr>
        <w:ind w:left="360"/>
        <w:rPr>
          <w:rFonts w:ascii="Times New Roman" w:hAnsi="Times New Roman" w:cs="Times New Roman"/>
          <w:sz w:val="24"/>
          <w:szCs w:val="24"/>
        </w:rPr>
      </w:pPr>
      <w:r w:rsidRPr="007B6175">
        <w:rPr>
          <w:rFonts w:ascii="Times New Roman" w:eastAsia="Times New Roman" w:hAnsi="Times New Roman" w:cs="Times New Roman"/>
          <w:sz w:val="24"/>
        </w:rPr>
        <w:t>Editing Scholarly Journals at the UW-Madison School of Education-Adopted SoE APC March 2013</w:t>
      </w:r>
    </w:p>
    <w:p w:rsidR="007B6175" w:rsidRDefault="007B6175" w:rsidP="007B6175">
      <w:pPr>
        <w:spacing w:after="0" w:line="240" w:lineRule="auto"/>
      </w:pPr>
      <w:bookmarkStart w:id="0" w:name="_GoBack"/>
      <w:bookmarkEnd w:id="0"/>
    </w:p>
    <w:p w:rsidR="007B6175" w:rsidRDefault="007B6175" w:rsidP="007B6175">
      <w:pPr>
        <w:spacing w:after="0" w:line="240" w:lineRule="auto"/>
        <w:jc w:val="both"/>
      </w:pPr>
      <w:r>
        <w:rPr>
          <w:rFonts w:ascii="Times New Roman" w:eastAsia="Times New Roman" w:hAnsi="Times New Roman" w:cs="Times New Roman"/>
          <w:sz w:val="24"/>
        </w:rPr>
        <w:lastRenderedPageBreak/>
        <w:t>Editing academic journals is a major scholarly activity, involving the creation and dissemination of knowledge. The editing of such journals is a valued academic endeavor. Previously, support for this type of activity has been through ad hoc arrangements. The guidelines below have been developed to clarify the proposal process. Being asked to be primary editor of a journal is a significant accomplishment.</w:t>
      </w:r>
    </w:p>
    <w:p w:rsidR="007B6175" w:rsidRDefault="007B6175" w:rsidP="007B6175">
      <w:pPr>
        <w:spacing w:after="0" w:line="240" w:lineRule="auto"/>
        <w:jc w:val="both"/>
      </w:pPr>
    </w:p>
    <w:p w:rsidR="007B6175" w:rsidRDefault="007B6175" w:rsidP="007B6175">
      <w:pPr>
        <w:spacing w:after="0" w:line="240" w:lineRule="auto"/>
        <w:jc w:val="center"/>
      </w:pPr>
      <w:r>
        <w:rPr>
          <w:rFonts w:ascii="Times New Roman" w:eastAsia="Times New Roman" w:hAnsi="Times New Roman" w:cs="Times New Roman"/>
          <w:b/>
          <w:sz w:val="24"/>
        </w:rPr>
        <w:t>Guidelines for Support to Faculty Editing Scholarly Journals</w:t>
      </w:r>
    </w:p>
    <w:p w:rsidR="007B6175" w:rsidRDefault="007B6175" w:rsidP="007B6175">
      <w:pPr>
        <w:spacing w:after="0" w:line="240" w:lineRule="auto"/>
        <w:jc w:val="both"/>
      </w:pPr>
      <w:bookmarkStart w:id="1" w:name="h.gjdgxs" w:colFirst="0" w:colLast="0"/>
      <w:bookmarkEnd w:id="1"/>
    </w:p>
    <w:p w:rsidR="007B6175" w:rsidRDefault="007B6175" w:rsidP="007B6175">
      <w:pPr>
        <w:spacing w:after="0" w:line="240" w:lineRule="auto"/>
        <w:jc w:val="both"/>
      </w:pPr>
      <w:r>
        <w:rPr>
          <w:rFonts w:ascii="Times New Roman" w:eastAsia="Times New Roman" w:hAnsi="Times New Roman" w:cs="Times New Roman"/>
          <w:sz w:val="24"/>
        </w:rPr>
        <w:t xml:space="preserve">Support for full-time faculty members who are Editors of preeminent scholarly journals is available under the following conditions: </w:t>
      </w:r>
    </w:p>
    <w:p w:rsidR="007B6175" w:rsidRDefault="007B6175" w:rsidP="007B6175">
      <w:pPr>
        <w:spacing w:after="0" w:line="240" w:lineRule="auto"/>
        <w:ind w:right="360"/>
        <w:jc w:val="both"/>
      </w:pPr>
    </w:p>
    <w:p w:rsidR="007B6175" w:rsidRDefault="007B6175" w:rsidP="007B6175">
      <w:pPr>
        <w:numPr>
          <w:ilvl w:val="0"/>
          <w:numId w:val="6"/>
        </w:numPr>
        <w:spacing w:after="0" w:line="240" w:lineRule="auto"/>
        <w:ind w:right="360" w:hanging="359"/>
        <w:jc w:val="both"/>
      </w:pPr>
      <w:r>
        <w:rPr>
          <w:rFonts w:ascii="Times New Roman" w:eastAsia="Times New Roman" w:hAnsi="Times New Roman" w:cs="Times New Roman"/>
          <w:sz w:val="24"/>
        </w:rPr>
        <w:t xml:space="preserve">Before a request for support is submitted to the Graduate School, the department’s executive committee and Chair must endorse the proposal and affirm their commitment to offer funding. </w:t>
      </w:r>
    </w:p>
    <w:p w:rsidR="007B6175" w:rsidRDefault="007B6175" w:rsidP="007B6175">
      <w:pPr>
        <w:spacing w:after="0" w:line="240" w:lineRule="auto"/>
        <w:ind w:left="720" w:right="360"/>
        <w:jc w:val="both"/>
      </w:pPr>
    </w:p>
    <w:p w:rsidR="007B6175" w:rsidRDefault="007B6175" w:rsidP="007B6175">
      <w:pPr>
        <w:numPr>
          <w:ilvl w:val="0"/>
          <w:numId w:val="6"/>
        </w:numPr>
        <w:spacing w:after="0" w:line="240" w:lineRule="auto"/>
        <w:ind w:right="360" w:hanging="359"/>
        <w:jc w:val="both"/>
      </w:pPr>
      <w:r>
        <w:rPr>
          <w:rFonts w:ascii="Times New Roman" w:eastAsia="Times New Roman" w:hAnsi="Times New Roman" w:cs="Times New Roman"/>
          <w:sz w:val="24"/>
        </w:rPr>
        <w:t>Requests to the Graduate School for support to edit scholarly journals should be directed to your department’s Graduate School Divisional Associate Dean.</w:t>
      </w:r>
    </w:p>
    <w:p w:rsidR="007B6175" w:rsidRDefault="007B6175" w:rsidP="007B6175">
      <w:pPr>
        <w:spacing w:after="0" w:line="240" w:lineRule="auto"/>
        <w:ind w:right="360" w:firstLine="720"/>
        <w:jc w:val="both"/>
      </w:pPr>
      <w:r>
        <w:rPr>
          <w:rFonts w:ascii="Times New Roman" w:eastAsia="Times New Roman" w:hAnsi="Times New Roman" w:cs="Times New Roman"/>
          <w:sz w:val="24"/>
        </w:rPr>
        <w:t>(</w:t>
      </w:r>
      <w:hyperlink r:id="rId8">
        <w:r>
          <w:rPr>
            <w:rFonts w:ascii="Times New Roman" w:eastAsia="Times New Roman" w:hAnsi="Times New Roman" w:cs="Times New Roman"/>
            <w:color w:val="0563C1"/>
            <w:sz w:val="24"/>
            <w:u w:val="single"/>
          </w:rPr>
          <w:t>http://www.grad.wisc.edu/contacts/deans.html</w:t>
        </w:r>
      </w:hyperlink>
      <w:r>
        <w:rPr>
          <w:rFonts w:ascii="Times New Roman" w:eastAsia="Times New Roman" w:hAnsi="Times New Roman" w:cs="Times New Roman"/>
          <w:sz w:val="24"/>
        </w:rPr>
        <w:t xml:space="preserve">) </w:t>
      </w:r>
    </w:p>
    <w:p w:rsidR="007B6175" w:rsidRDefault="007B6175" w:rsidP="007B6175">
      <w:pPr>
        <w:spacing w:after="0" w:line="240" w:lineRule="auto"/>
        <w:ind w:left="720" w:right="360"/>
        <w:jc w:val="both"/>
      </w:pPr>
    </w:p>
    <w:p w:rsidR="007B6175" w:rsidRDefault="007B6175" w:rsidP="007B6175">
      <w:pPr>
        <w:numPr>
          <w:ilvl w:val="0"/>
          <w:numId w:val="6"/>
        </w:numPr>
        <w:spacing w:after="0" w:line="240" w:lineRule="auto"/>
        <w:ind w:right="360" w:hanging="359"/>
        <w:jc w:val="both"/>
      </w:pPr>
      <w:r>
        <w:rPr>
          <w:rFonts w:ascii="Times New Roman" w:eastAsia="Times New Roman" w:hAnsi="Times New Roman" w:cs="Times New Roman"/>
          <w:sz w:val="24"/>
        </w:rPr>
        <w:t xml:space="preserve">Once approved by the Graduate School, requests for the funding match should then be submitted to the Dean. The request for funding should include: </w:t>
      </w:r>
    </w:p>
    <w:p w:rsidR="007B6175" w:rsidRDefault="007B6175" w:rsidP="007B6175">
      <w:pPr>
        <w:spacing w:after="0" w:line="240" w:lineRule="auto"/>
        <w:ind w:left="720" w:right="360"/>
        <w:jc w:val="both"/>
      </w:pPr>
    </w:p>
    <w:p w:rsidR="007B6175" w:rsidRDefault="007B6175" w:rsidP="007B6175">
      <w:pPr>
        <w:numPr>
          <w:ilvl w:val="1"/>
          <w:numId w:val="4"/>
        </w:numPr>
        <w:spacing w:after="0" w:line="240" w:lineRule="auto"/>
        <w:ind w:right="360" w:hanging="359"/>
        <w:jc w:val="both"/>
      </w:pPr>
      <w:r>
        <w:rPr>
          <w:rFonts w:ascii="Times New Roman" w:eastAsia="Times New Roman" w:hAnsi="Times New Roman" w:cs="Times New Roman"/>
          <w:sz w:val="24"/>
        </w:rPr>
        <w:t>A copy of the contract or agreement between the publisher of the journal and the Editor for the operation of the Editor’s office.</w:t>
      </w:r>
    </w:p>
    <w:p w:rsidR="007B6175" w:rsidRDefault="007B6175" w:rsidP="007B6175">
      <w:pPr>
        <w:spacing w:after="0" w:line="240" w:lineRule="auto"/>
        <w:ind w:left="1440" w:right="360"/>
        <w:jc w:val="both"/>
      </w:pPr>
    </w:p>
    <w:p w:rsidR="007B6175" w:rsidRDefault="007B6175" w:rsidP="007B6175">
      <w:pPr>
        <w:numPr>
          <w:ilvl w:val="1"/>
          <w:numId w:val="4"/>
        </w:numPr>
        <w:spacing w:after="0" w:line="240" w:lineRule="auto"/>
        <w:ind w:right="360" w:hanging="359"/>
        <w:jc w:val="both"/>
      </w:pPr>
      <w:r>
        <w:rPr>
          <w:rFonts w:ascii="Times New Roman" w:eastAsia="Times New Roman" w:hAnsi="Times New Roman" w:cs="Times New Roman"/>
          <w:sz w:val="24"/>
        </w:rPr>
        <w:t>Demonstration of the support to be provided by the Editor’s Department and by the Graduate School.</w:t>
      </w:r>
    </w:p>
    <w:p w:rsidR="007B6175" w:rsidRDefault="007B6175" w:rsidP="007B6175">
      <w:pPr>
        <w:spacing w:after="0" w:line="240" w:lineRule="auto"/>
        <w:ind w:right="360"/>
        <w:jc w:val="both"/>
      </w:pPr>
    </w:p>
    <w:p w:rsidR="007B6175" w:rsidRDefault="007B6175" w:rsidP="007B6175">
      <w:pPr>
        <w:numPr>
          <w:ilvl w:val="0"/>
          <w:numId w:val="5"/>
        </w:numPr>
        <w:spacing w:after="0" w:line="240" w:lineRule="auto"/>
        <w:ind w:right="360" w:hanging="359"/>
        <w:jc w:val="both"/>
      </w:pPr>
      <w:r>
        <w:rPr>
          <w:rFonts w:ascii="Times New Roman" w:eastAsia="Times New Roman" w:hAnsi="Times New Roman" w:cs="Times New Roman"/>
          <w:sz w:val="24"/>
        </w:rPr>
        <w:t>The School of Education will match up to 50% of the UW-Madison’s Graduate School’s offer of support, if the faculty member’s department also commits to match 50% of the Graduate School’s funding. The funding model:</w:t>
      </w:r>
    </w:p>
    <w:p w:rsidR="007B6175" w:rsidRDefault="007B6175" w:rsidP="007B6175">
      <w:pPr>
        <w:spacing w:after="0" w:line="240" w:lineRule="auto"/>
        <w:ind w:right="360"/>
        <w:jc w:val="both"/>
      </w:pPr>
    </w:p>
    <w:p w:rsidR="007B6175" w:rsidRDefault="007B6175" w:rsidP="007B6175">
      <w:pPr>
        <w:spacing w:after="0" w:line="240" w:lineRule="auto"/>
        <w:ind w:right="360"/>
        <w:jc w:val="center"/>
      </w:pPr>
      <w:r>
        <w:rPr>
          <w:rFonts w:ascii="Times New Roman" w:eastAsia="Times New Roman" w:hAnsi="Times New Roman" w:cs="Times New Roman"/>
          <w:sz w:val="24"/>
        </w:rPr>
        <w:t>Graduate School</w:t>
      </w:r>
      <w:r>
        <w:rPr>
          <w:rFonts w:ascii="Times New Roman" w:eastAsia="Times New Roman" w:hAnsi="Times New Roman" w:cs="Times New Roman"/>
          <w:sz w:val="24"/>
        </w:rPr>
        <w:tab/>
        <w:t>50%</w:t>
      </w:r>
    </w:p>
    <w:p w:rsidR="007B6175" w:rsidRDefault="007B6175" w:rsidP="007B6175">
      <w:pPr>
        <w:spacing w:after="0" w:line="240" w:lineRule="auto"/>
        <w:ind w:right="360"/>
        <w:jc w:val="center"/>
      </w:pPr>
      <w:r>
        <w:rPr>
          <w:rFonts w:ascii="Times New Roman" w:eastAsia="Times New Roman" w:hAnsi="Times New Roman" w:cs="Times New Roman"/>
          <w:sz w:val="24"/>
        </w:rPr>
        <w:t>School of Education</w:t>
      </w:r>
      <w:r>
        <w:rPr>
          <w:rFonts w:ascii="Times New Roman" w:eastAsia="Times New Roman" w:hAnsi="Times New Roman" w:cs="Times New Roman"/>
          <w:sz w:val="24"/>
        </w:rPr>
        <w:tab/>
        <w:t>25%</w:t>
      </w:r>
    </w:p>
    <w:p w:rsidR="007B6175" w:rsidRPr="007B6175" w:rsidRDefault="007B6175" w:rsidP="007B6175">
      <w:pPr>
        <w:spacing w:after="0" w:line="240" w:lineRule="auto"/>
        <w:ind w:right="360"/>
        <w:jc w:val="center"/>
      </w:pPr>
      <w:r>
        <w:rPr>
          <w:rFonts w:ascii="Times New Roman" w:eastAsia="Times New Roman" w:hAnsi="Times New Roman" w:cs="Times New Roman"/>
          <w:sz w:val="24"/>
        </w:rPr>
        <w:t>Department</w:t>
      </w:r>
      <w:r>
        <w:rPr>
          <w:rFonts w:ascii="Times New Roman" w:eastAsia="Times New Roman" w:hAnsi="Times New Roman" w:cs="Times New Roman"/>
          <w:sz w:val="24"/>
        </w:rPr>
        <w:tab/>
      </w:r>
      <w:r>
        <w:rPr>
          <w:rFonts w:ascii="Times New Roman" w:eastAsia="Times New Roman" w:hAnsi="Times New Roman" w:cs="Times New Roman"/>
          <w:sz w:val="24"/>
        </w:rPr>
        <w:tab/>
        <w:t>25%</w:t>
      </w:r>
    </w:p>
    <w:sectPr w:rsidR="007B6175" w:rsidRPr="007B6175" w:rsidSect="00D0797A">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6B" w:rsidRDefault="0019566B" w:rsidP="008C0ABC">
      <w:pPr>
        <w:spacing w:after="0" w:line="240" w:lineRule="auto"/>
      </w:pPr>
      <w:r>
        <w:separator/>
      </w:r>
    </w:p>
  </w:endnote>
  <w:endnote w:type="continuationSeparator" w:id="0">
    <w:p w:rsidR="0019566B" w:rsidRDefault="0019566B" w:rsidP="008C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6B" w:rsidRDefault="0019566B" w:rsidP="008C0ABC">
      <w:pPr>
        <w:spacing w:after="0" w:line="240" w:lineRule="auto"/>
      </w:pPr>
      <w:r>
        <w:separator/>
      </w:r>
    </w:p>
  </w:footnote>
  <w:footnote w:type="continuationSeparator" w:id="0">
    <w:p w:rsidR="0019566B" w:rsidRDefault="0019566B" w:rsidP="008C0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7A" w:rsidRPr="00D0797A" w:rsidRDefault="00D0797A" w:rsidP="00D0797A">
    <w:pPr>
      <w:pStyle w:val="Header"/>
      <w:jc w:val="right"/>
      <w:rPr>
        <w:rFonts w:ascii="Times New Roman" w:hAnsi="Times New Roman" w:cs="Times New Roman"/>
      </w:rPr>
    </w:pPr>
    <w:r w:rsidRPr="00D0797A">
      <w:rPr>
        <w:rFonts w:ascii="Times New Roman" w:hAnsi="Times New Roman" w:cs="Times New Roman"/>
      </w:rPr>
      <w:t xml:space="preserve">SOE </w:t>
    </w:r>
    <w:r w:rsidR="0088115F">
      <w:rPr>
        <w:rFonts w:ascii="Times New Roman" w:hAnsi="Times New Roman" w:cs="Times New Roman"/>
      </w:rPr>
      <w:t>FINANCIAL</w:t>
    </w:r>
    <w:r w:rsidRPr="00D0797A">
      <w:rPr>
        <w:rFonts w:ascii="Times New Roman" w:hAnsi="Times New Roman" w:cs="Times New Roman"/>
      </w:rPr>
      <w:t xml:space="preserve"> POLICIES</w:t>
    </w:r>
    <w:r>
      <w:rPr>
        <w:rFonts w:ascii="Times New Roman" w:hAnsi="Times New Roman" w:cs="Times New Roman"/>
      </w:rPr>
      <w:t xml:space="preserve"> - 2</w:t>
    </w:r>
  </w:p>
  <w:p w:rsidR="008C0ABC" w:rsidRDefault="008C0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C5A"/>
    <w:multiLevelType w:val="multilevel"/>
    <w:tmpl w:val="D1C4F29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0869592A"/>
    <w:multiLevelType w:val="multilevel"/>
    <w:tmpl w:val="EFC625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125F7B99"/>
    <w:multiLevelType w:val="multilevel"/>
    <w:tmpl w:val="C6AA11E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274823F8"/>
    <w:multiLevelType w:val="hybridMultilevel"/>
    <w:tmpl w:val="C54A4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1029B"/>
    <w:multiLevelType w:val="hybridMultilevel"/>
    <w:tmpl w:val="477CC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3216E"/>
    <w:multiLevelType w:val="hybridMultilevel"/>
    <w:tmpl w:val="4FC4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CD"/>
    <w:rsid w:val="00007AE0"/>
    <w:rsid w:val="00030DFF"/>
    <w:rsid w:val="000832E2"/>
    <w:rsid w:val="000B145C"/>
    <w:rsid w:val="000E4D73"/>
    <w:rsid w:val="00136B57"/>
    <w:rsid w:val="001747F4"/>
    <w:rsid w:val="0017648F"/>
    <w:rsid w:val="0019566B"/>
    <w:rsid w:val="002441A0"/>
    <w:rsid w:val="002465DB"/>
    <w:rsid w:val="00266EA8"/>
    <w:rsid w:val="00286CD7"/>
    <w:rsid w:val="002A0595"/>
    <w:rsid w:val="002A62DF"/>
    <w:rsid w:val="002C6BB6"/>
    <w:rsid w:val="00322D43"/>
    <w:rsid w:val="00347FBF"/>
    <w:rsid w:val="00381F16"/>
    <w:rsid w:val="003B32F3"/>
    <w:rsid w:val="004067E3"/>
    <w:rsid w:val="00415049"/>
    <w:rsid w:val="00484150"/>
    <w:rsid w:val="004A6FE1"/>
    <w:rsid w:val="004D5A92"/>
    <w:rsid w:val="004E15FD"/>
    <w:rsid w:val="004F15D3"/>
    <w:rsid w:val="0052770E"/>
    <w:rsid w:val="005910F9"/>
    <w:rsid w:val="005D5AC0"/>
    <w:rsid w:val="006173A0"/>
    <w:rsid w:val="0062179D"/>
    <w:rsid w:val="006B2772"/>
    <w:rsid w:val="00723733"/>
    <w:rsid w:val="007A4A62"/>
    <w:rsid w:val="007B6175"/>
    <w:rsid w:val="007D7A4A"/>
    <w:rsid w:val="008363AF"/>
    <w:rsid w:val="0088115F"/>
    <w:rsid w:val="008C0ABC"/>
    <w:rsid w:val="008C46B6"/>
    <w:rsid w:val="008D162F"/>
    <w:rsid w:val="008E450B"/>
    <w:rsid w:val="009A6284"/>
    <w:rsid w:val="009E75CD"/>
    <w:rsid w:val="00A77EFA"/>
    <w:rsid w:val="00AA08ED"/>
    <w:rsid w:val="00AE36CA"/>
    <w:rsid w:val="00AF0F7B"/>
    <w:rsid w:val="00B11988"/>
    <w:rsid w:val="00B31EB4"/>
    <w:rsid w:val="00D01A13"/>
    <w:rsid w:val="00D0797A"/>
    <w:rsid w:val="00DC43C4"/>
    <w:rsid w:val="00E878AE"/>
    <w:rsid w:val="00EA5689"/>
    <w:rsid w:val="00ED7F93"/>
    <w:rsid w:val="00EE51EE"/>
    <w:rsid w:val="00F35AF9"/>
    <w:rsid w:val="00F8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6838"/>
  <w15:docId w15:val="{4E9DCBDD-D37A-4BEE-87F9-0B27E503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5CD"/>
    <w:pPr>
      <w:ind w:left="720"/>
      <w:contextualSpacing/>
    </w:pPr>
  </w:style>
  <w:style w:type="paragraph" w:styleId="BalloonText">
    <w:name w:val="Balloon Text"/>
    <w:basedOn w:val="Normal"/>
    <w:link w:val="BalloonTextChar"/>
    <w:uiPriority w:val="99"/>
    <w:semiHidden/>
    <w:unhideWhenUsed/>
    <w:rsid w:val="004E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FD"/>
    <w:rPr>
      <w:rFonts w:ascii="Segoe UI" w:hAnsi="Segoe UI" w:cs="Segoe UI"/>
      <w:sz w:val="18"/>
      <w:szCs w:val="18"/>
    </w:rPr>
  </w:style>
  <w:style w:type="paragraph" w:styleId="Header">
    <w:name w:val="header"/>
    <w:basedOn w:val="Normal"/>
    <w:link w:val="HeaderChar"/>
    <w:uiPriority w:val="99"/>
    <w:unhideWhenUsed/>
    <w:rsid w:val="008C0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ABC"/>
  </w:style>
  <w:style w:type="paragraph" w:styleId="Footer">
    <w:name w:val="footer"/>
    <w:basedOn w:val="Normal"/>
    <w:link w:val="FooterChar"/>
    <w:uiPriority w:val="99"/>
    <w:unhideWhenUsed/>
    <w:rsid w:val="008C0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wisc.edu/contacts/dean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9418-411B-4A8E-A0F5-5925DAF1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Amos Langraf</dc:creator>
  <cp:lastModifiedBy>Melissa Amos-Landgraf</cp:lastModifiedBy>
  <cp:revision>4</cp:revision>
  <cp:lastPrinted>2015-03-18T13:47:00Z</cp:lastPrinted>
  <dcterms:created xsi:type="dcterms:W3CDTF">2017-10-26T21:46:00Z</dcterms:created>
  <dcterms:modified xsi:type="dcterms:W3CDTF">2018-09-05T16:28:00Z</dcterms:modified>
</cp:coreProperties>
</file>